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jc w:val="distribute"/>
        <w:rPr>
          <w:rFonts w:hint="eastAsia" w:ascii="方正小标宋简体" w:hAnsi="方正小标宋简体" w:eastAsia="方正小标宋简体" w:cs="方正小标宋简体"/>
          <w:b/>
          <w:bCs w:val="0"/>
          <w:color w:val="FF0000"/>
          <w:w w:val="90"/>
          <w:sz w:val="72"/>
          <w:szCs w:val="72"/>
        </w:rPr>
      </w:pPr>
      <w:r>
        <w:rPr>
          <w:rFonts w:hint="eastAsia" w:ascii="方正小标宋简体" w:hAnsi="方正小标宋简体" w:eastAsia="方正小标宋简体" w:cs="方正小标宋简体"/>
          <w:b/>
          <w:bCs w:val="0"/>
          <w:color w:val="FF0000"/>
          <w:w w:val="90"/>
          <w:sz w:val="72"/>
          <w:szCs w:val="72"/>
        </w:rPr>
        <w:t>广东江门中医药职业学院</w:t>
      </w:r>
    </w:p>
    <w:p>
      <w:pPr>
        <w:spacing w:line="240" w:lineRule="exact"/>
        <w:rPr>
          <w:rFonts w:ascii="华文中宋" w:hAnsi="华文中宋" w:eastAsia="华文中宋"/>
          <w:sz w:val="13"/>
          <w:szCs w:val="13"/>
        </w:rPr>
      </w:pPr>
    </w:p>
    <w:tbl>
      <w:tblPr>
        <w:tblStyle w:val="11"/>
        <w:tblW w:w="0" w:type="auto"/>
        <w:jc w:val="center"/>
        <w:tblBorders>
          <w:top w:val="single" w:color="FF0000"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single" w:color="FF0000"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 w:hRule="atLeast"/>
          <w:jc w:val="center"/>
        </w:trPr>
        <w:tc>
          <w:tcPr>
            <w:tcW w:w="8950" w:type="dxa"/>
            <w:tcBorders>
              <w:top w:val="single" w:color="FF0000" w:sz="24" w:space="0"/>
              <w:left w:val="nil"/>
              <w:bottom w:val="nil"/>
              <w:right w:val="nil"/>
            </w:tcBorders>
            <w:noWrap w:val="0"/>
            <w:vAlign w:val="top"/>
          </w:tcPr>
          <w:p>
            <w:pPr>
              <w:spacing w:line="560" w:lineRule="exact"/>
              <w:rPr>
                <w:rFonts w:ascii="仿宋_GB2312" w:hAnsi="仿宋" w:eastAsia="仿宋_GB2312"/>
                <w:bCs/>
                <w:color w:val="FF0000"/>
                <w:sz w:val="32"/>
                <w:szCs w:val="32"/>
              </w:rPr>
            </w:pPr>
          </w:p>
        </w:tc>
      </w:tr>
    </w:tbl>
    <w:p>
      <w:pPr>
        <w:adjustRightInd w:val="0"/>
        <w:snapToGrid w:val="0"/>
        <w:spacing w:line="560" w:lineRule="exact"/>
        <w:jc w:val="center"/>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rPr>
        <w:t>广东江门中医药职业学院</w:t>
      </w:r>
    </w:p>
    <w:p>
      <w:pPr>
        <w:pStyle w:val="2"/>
        <w:jc w:val="center"/>
        <w:rPr>
          <w:rFonts w:hint="eastAsia" w:ascii="方正小标宋简体" w:hAnsi="方正小标宋简体" w:eastAsia="方正小标宋简体" w:cs="方正小标宋简体"/>
          <w:b/>
          <w:kern w:val="2"/>
          <w:sz w:val="44"/>
          <w:szCs w:val="44"/>
          <w:highlight w:val="none"/>
          <w:lang w:val="en-US" w:eastAsia="zh-CN" w:bidi="ar-SA"/>
        </w:rPr>
      </w:pPr>
      <w:r>
        <w:rPr>
          <w:rFonts w:hint="eastAsia" w:ascii="方正小标宋简体" w:hAnsi="方正小标宋简体" w:eastAsia="方正小标宋简体" w:cs="方正小标宋简体"/>
          <w:b/>
          <w:kern w:val="2"/>
          <w:sz w:val="44"/>
          <w:szCs w:val="44"/>
          <w:highlight w:val="none"/>
          <w:lang w:val="en-US" w:eastAsia="zh-CN" w:bidi="ar-SA"/>
        </w:rPr>
        <w:t>校企合作体制机制改革</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学校</w:t>
      </w:r>
      <w:r>
        <w:rPr>
          <w:rFonts w:ascii="仿宋" w:hAnsi="仿宋" w:eastAsia="仿宋" w:cs="仿宋"/>
          <w:color w:val="000000"/>
          <w:kern w:val="0"/>
          <w:sz w:val="28"/>
          <w:szCs w:val="28"/>
          <w:lang w:val="en-US" w:eastAsia="zh-CN" w:bidi="ar"/>
        </w:rPr>
        <w:t>坚持“产教融合、校企合作”的现代职业教育的办学理念。</w:t>
      </w:r>
      <w:r>
        <w:rPr>
          <w:rFonts w:hint="eastAsia" w:ascii="仿宋" w:hAnsi="仿宋" w:eastAsia="仿宋" w:cs="仿宋"/>
          <w:color w:val="000000"/>
          <w:kern w:val="0"/>
          <w:sz w:val="28"/>
          <w:szCs w:val="28"/>
          <w:lang w:val="en-US" w:eastAsia="zh-CN" w:bidi="ar"/>
        </w:rPr>
        <w:t>创新举措推进校企双向“双精准”对接，努力满足行业企业对技术技能人才的需求。根据《广东江门中医药职业学院校企共建专业建设实施方案》，在学校领导的支持下，与省内多家的知名医院、企业持续合作，进一步创新</w:t>
      </w:r>
      <w:bookmarkStart w:id="0" w:name="_GoBack"/>
      <w:bookmarkEnd w:id="0"/>
      <w:r>
        <w:rPr>
          <w:rFonts w:hint="eastAsia" w:ascii="仿宋" w:hAnsi="仿宋" w:eastAsia="仿宋" w:cs="仿宋"/>
          <w:color w:val="000000"/>
          <w:kern w:val="0"/>
          <w:sz w:val="28"/>
          <w:szCs w:val="28"/>
          <w:lang w:val="en-US" w:eastAsia="zh-CN" w:bidi="ar"/>
        </w:rPr>
        <w:t>校企合作人才培养模式，培育高质量的技能人才，</w:t>
      </w:r>
      <w:r>
        <w:rPr>
          <w:rFonts w:hint="eastAsia" w:ascii="仿宋" w:hAnsi="仿宋" w:eastAsia="仿宋"/>
          <w:sz w:val="28"/>
          <w:szCs w:val="28"/>
        </w:rPr>
        <w:t>建设校企命运共同体，形成人才共育、过程共管、成果共享、责任共担的紧密型合作办学体制机制</w:t>
      </w:r>
      <w:r>
        <w:rPr>
          <w:rFonts w:hint="eastAsia" w:ascii="仿宋" w:hAnsi="仿宋" w:eastAsia="仿宋"/>
          <w:sz w:val="28"/>
          <w:szCs w:val="28"/>
          <w:lang w:eastAsia="zh-CN"/>
        </w:rPr>
        <w:t>，</w:t>
      </w:r>
      <w:r>
        <w:rPr>
          <w:rFonts w:hint="eastAsia" w:ascii="仿宋" w:hAnsi="仿宋" w:eastAsia="仿宋" w:cs="仿宋"/>
          <w:color w:val="000000"/>
          <w:kern w:val="0"/>
          <w:sz w:val="28"/>
          <w:szCs w:val="28"/>
          <w:lang w:val="en-US" w:eastAsia="zh-CN" w:bidi="ar"/>
        </w:rPr>
        <w:t>实现学院、企业和学生三方共赢的局面。</w:t>
      </w:r>
    </w:p>
    <w:p>
      <w:pPr>
        <w:widowControl/>
        <w:adjustRightInd w:val="0"/>
        <w:snapToGrid w:val="0"/>
        <w:spacing w:line="52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（1）持续深化产教融合育人</w:t>
      </w:r>
    </w:p>
    <w:p>
      <w:pPr>
        <w:widowControl/>
        <w:adjustRightInd w:val="0"/>
        <w:snapToGrid w:val="0"/>
        <w:spacing w:line="52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为提高人才培养质量、适应供给侧结构改革,学校正式印发《校企共建专业建设实施方案》，学校充分利用行业学会及专业指导委员会平台，积极开发实习实训基地，现有校外实习基地160个，遍布广东省各市区，含三甲医院，大健康产业头部企业等，包括曼秀雷敦、采芝林、汤臣倍健、阿斯利康、国大药业、潘高寿制药等国内外知名品牌企业。</w:t>
      </w:r>
    </w:p>
    <w:p>
      <w:pPr>
        <w:widowControl/>
        <w:adjustRightInd w:val="0"/>
        <w:snapToGrid w:val="0"/>
        <w:spacing w:line="52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学校积极引江门国大药房、大参林等500强企业入校，加强校企深度融合，由学校免费提供场所，企业投入资金和设备，营造真实的职业场景，按照职业岗位的能力要求，进行实际操作训练，实现与岗位零距离，为培养实用型、技能型职业人才创造了条件。如国大药房中医学院店实训基地，可供学生校内实训药品营销、处方配药、药物分类仓储、中药生产与加工等二十多个项目，承担着药学、中药学、药品质量与安全、药品经营与管理等多个专业的技能实训工作，每年接收近三百学生的见习、实习培训任务。</w:t>
      </w:r>
    </w:p>
    <w:p>
      <w:pPr>
        <w:widowControl/>
        <w:adjustRightInd w:val="0"/>
        <w:snapToGrid w:val="0"/>
        <w:spacing w:line="52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为充分发挥校企合作优势，开展深层次校企合作育人，学校联合国药控股国大药房江门有限公司设立了“江门国大药房雏鹰展翅奖学金”。奖励项目分为道德风尚奖学金、创新创业奖学金、勤奋励志奖学金、多才多艺奖学金、活力自强奖学金。2022</w:t>
      </w:r>
      <w:r>
        <w:rPr>
          <w:rFonts w:ascii="仿宋" w:hAnsi="仿宋" w:eastAsia="仿宋" w:cs="仿宋"/>
          <w:color w:val="000000"/>
          <w:kern w:val="0"/>
          <w:sz w:val="28"/>
          <w:szCs w:val="28"/>
        </w:rPr>
        <w:t>年共有5名同学各获得国药控股国大药房江门有限公司</w:t>
      </w:r>
      <w:r>
        <w:rPr>
          <w:rFonts w:hint="eastAsia" w:ascii="仿宋" w:hAnsi="仿宋" w:eastAsia="仿宋" w:cs="仿宋"/>
          <w:color w:val="000000"/>
          <w:kern w:val="0"/>
          <w:sz w:val="28"/>
          <w:szCs w:val="28"/>
        </w:rPr>
        <w:t>设立的“江门国大药房雏鹰展翅奖学金”3000元，15名同学获得300元奖学金。</w:t>
      </w:r>
    </w:p>
    <w:p>
      <w:pPr>
        <w:widowControl/>
        <w:adjustRightInd w:val="0"/>
        <w:snapToGrid w:val="0"/>
        <w:ind w:firstLine="588" w:firstLineChars="200"/>
        <w:jc w:val="left"/>
        <w:rPr>
          <w:rFonts w:asciiTheme="minorEastAsia" w:hAnsiTheme="minorEastAsia"/>
          <w:color w:val="000000"/>
          <w:spacing w:val="7"/>
          <w:sz w:val="28"/>
          <w:szCs w:val="28"/>
          <w:shd w:val="clear" w:color="auto" w:fill="FFFFFF"/>
        </w:rPr>
      </w:pPr>
      <w:r>
        <w:rPr>
          <w:rFonts w:hint="eastAsia" w:asciiTheme="minorEastAsia" w:hAnsiTheme="minorEastAsia"/>
          <w:color w:val="000000"/>
          <w:spacing w:val="7"/>
          <w:sz w:val="28"/>
          <w:szCs w:val="28"/>
          <w:shd w:val="clear" w:color="auto" w:fill="FFFFFF"/>
        </w:rPr>
        <w:drawing>
          <wp:inline distT="0" distB="0" distL="114300" distR="114300">
            <wp:extent cx="4420870" cy="2947670"/>
            <wp:effectExtent l="0" t="0" r="17780" b="5080"/>
            <wp:docPr id="26" name="图片 26" descr="7Q0A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7Q0A2821"/>
                    <pic:cNvPicPr>
                      <a:picLocks noChangeAspect="1"/>
                    </pic:cNvPicPr>
                  </pic:nvPicPr>
                  <pic:blipFill>
                    <a:blip r:embed="rId4"/>
                    <a:stretch>
                      <a:fillRect/>
                    </a:stretch>
                  </pic:blipFill>
                  <pic:spPr>
                    <a:xfrm>
                      <a:off x="0" y="0"/>
                      <a:ext cx="4420870" cy="2947670"/>
                    </a:xfrm>
                    <a:prstGeom prst="rect">
                      <a:avLst/>
                    </a:prstGeom>
                  </pic:spPr>
                </pic:pic>
              </a:graphicData>
            </a:graphic>
          </wp:inline>
        </w:drawing>
      </w:r>
    </w:p>
    <w:p>
      <w:pPr>
        <w:pStyle w:val="2"/>
        <w:jc w:val="center"/>
        <w:rPr>
          <w:rFonts w:hAnsi="宋体" w:eastAsia="宋体" w:cs="宋体"/>
          <w:b/>
          <w:bCs/>
          <w:color w:val="000000"/>
        </w:rPr>
      </w:pPr>
      <w:r>
        <w:rPr>
          <w:rFonts w:hint="eastAsia" w:hAnsi="宋体" w:eastAsia="宋体" w:cs="宋体"/>
          <w:b/>
          <w:bCs/>
          <w:color w:val="000000"/>
        </w:rPr>
        <w:t>图2.3-1  江门国大药房雏鹰展翅奖学金</w:t>
      </w:r>
    </w:p>
    <w:p>
      <w:pPr>
        <w:widowControl/>
        <w:adjustRightInd w:val="0"/>
        <w:snapToGrid w:val="0"/>
        <w:spacing w:line="52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（2）深化产学研合作</w:t>
      </w:r>
    </w:p>
    <w:p>
      <w:pPr>
        <w:widowControl/>
        <w:adjustRightInd w:val="0"/>
        <w:snapToGrid w:val="0"/>
        <w:spacing w:line="52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学校对接粤港澳大湾区医药产业的需求，</w:t>
      </w:r>
      <w:r>
        <w:rPr>
          <w:rFonts w:hint="eastAsia" w:ascii="仿宋" w:hAnsi="仿宋" w:eastAsia="仿宋"/>
          <w:bCs/>
          <w:color w:val="000000"/>
          <w:sz w:val="28"/>
          <w:szCs w:val="28"/>
        </w:rPr>
        <w:t>与社会各类医药相关企业进行多方面校企合作，</w:t>
      </w:r>
      <w:r>
        <w:rPr>
          <w:rFonts w:hint="eastAsia" w:ascii="仿宋" w:hAnsi="仿宋" w:eastAsia="仿宋" w:cs="仿宋"/>
          <w:color w:val="000000"/>
          <w:kern w:val="0"/>
          <w:sz w:val="28"/>
          <w:szCs w:val="28"/>
        </w:rPr>
        <w:t>积极申报各级各类科研课题。</w:t>
      </w:r>
    </w:p>
    <w:p>
      <w:pPr>
        <w:pStyle w:val="2"/>
        <w:jc w:val="center"/>
        <w:rPr>
          <w:rFonts w:hAnsi="宋体" w:eastAsia="宋体" w:cs="宋体"/>
          <w:b/>
          <w:bCs/>
          <w:color w:val="000000"/>
        </w:rPr>
      </w:pPr>
      <w:r>
        <w:rPr>
          <w:rFonts w:hint="eastAsia" w:hAnsi="宋体" w:eastAsia="宋体" w:cs="宋体"/>
          <w:b/>
          <w:bCs/>
          <w:color w:val="000000"/>
        </w:rPr>
        <w:t>表2.3-1  校企业产学研合作统计表</w:t>
      </w:r>
    </w:p>
    <w:tbl>
      <w:tblPr>
        <w:tblStyle w:val="11"/>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3403"/>
        <w:gridCol w:w="1336"/>
        <w:gridCol w:w="714"/>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655" w:type="dxa"/>
            <w:shd w:val="clear" w:color="auto" w:fill="FFC000"/>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序号</w:t>
            </w:r>
          </w:p>
        </w:tc>
        <w:tc>
          <w:tcPr>
            <w:tcW w:w="3403" w:type="dxa"/>
            <w:shd w:val="clear" w:color="auto" w:fill="FFC000"/>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课题名称</w:t>
            </w:r>
          </w:p>
        </w:tc>
        <w:tc>
          <w:tcPr>
            <w:tcW w:w="1336" w:type="dxa"/>
            <w:shd w:val="clear" w:color="auto" w:fill="FFC000"/>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下文时间</w:t>
            </w:r>
          </w:p>
        </w:tc>
        <w:tc>
          <w:tcPr>
            <w:tcW w:w="714" w:type="dxa"/>
            <w:shd w:val="clear" w:color="auto" w:fill="FFC000"/>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级别</w:t>
            </w:r>
          </w:p>
        </w:tc>
        <w:tc>
          <w:tcPr>
            <w:tcW w:w="2208" w:type="dxa"/>
            <w:shd w:val="clear" w:color="auto" w:fill="FFC000"/>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合作单位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中药学专业群人工智能复合型人才培养的研究与实践</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2022年6月20日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部级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北京中育神州数据科技有限公司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药食同源功能性食品开发及质量安全控制工程技术研究中心</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2022年9月1日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省级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国家中药现代化工程技术研究中心；广东利诚检测技术有限公司；广东陈皮人家陈皮集团有限公司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江门市陈皮产业产教融合创新平台</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2022年9月1日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省级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广东陈皮人家陈皮集团有限公司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4</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医共体影像诊断中心影像技师规范化培训体系的建设和应用研究</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2022年5月6日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江门市新会区人民医院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5</w:t>
            </w:r>
          </w:p>
        </w:tc>
        <w:tc>
          <w:tcPr>
            <w:tcW w:w="3403" w:type="dxa"/>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基于实践能力培养的健康教育与健康促进课程体系与构建研究</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2022年7月11日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广东江门中医药职业学院附属医院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6</w:t>
            </w:r>
          </w:p>
        </w:tc>
        <w:tc>
          <w:tcPr>
            <w:tcW w:w="3403" w:type="dxa"/>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“三教改革”视域下，高职药学专业课程临床药物治疗学的改革与实践</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2022年7月11日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国药控股国大药房江门连锁有限公司、江门新会区妇幼保健院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7</w:t>
            </w:r>
          </w:p>
        </w:tc>
        <w:tc>
          <w:tcPr>
            <w:tcW w:w="3403" w:type="dxa"/>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高职医学院学生参与社区养老志愿服务长效机制构建研究</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2022年7月11日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江门市人民医院、江门市红十字会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8</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一种骨质疏松合并高脂血症大鼠模型的建立与评价</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2022年7月25日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广州中医药大学第三附属医院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9</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丹参酮IIA结构修饰及其靶向EGFR抑制非小细胞肺癌细胞增殖的机制研究</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2022年12月19日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广东药科大学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5"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w:t>
            </w:r>
          </w:p>
        </w:tc>
        <w:tc>
          <w:tcPr>
            <w:tcW w:w="3403"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“健康中国”背景下湾区居民对院外心脏骤停知晓情况的现状调查与对策研究——以江门市为例</w:t>
            </w:r>
          </w:p>
        </w:tc>
        <w:tc>
          <w:tcPr>
            <w:tcW w:w="1336"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2022年12月20日</w:t>
            </w:r>
          </w:p>
        </w:tc>
        <w:tc>
          <w:tcPr>
            <w:tcW w:w="714"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市级</w:t>
            </w:r>
          </w:p>
        </w:tc>
        <w:tc>
          <w:tcPr>
            <w:tcW w:w="2208" w:type="dxa"/>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江门众心志愿救伤队</w:t>
            </w:r>
          </w:p>
        </w:tc>
      </w:tr>
    </w:tbl>
    <w:p>
      <w:pPr>
        <w:widowControl/>
        <w:adjustRightInd w:val="0"/>
        <w:snapToGrid w:val="0"/>
        <w:spacing w:line="520" w:lineRule="exact"/>
        <w:ind w:firstLine="560" w:firstLineChars="200"/>
        <w:jc w:val="left"/>
        <w:rPr>
          <w:rFonts w:ascii="仿宋" w:hAnsi="仿宋" w:eastAsia="仿宋"/>
          <w:bCs/>
          <w:color w:val="000000"/>
          <w:sz w:val="28"/>
          <w:szCs w:val="28"/>
        </w:rPr>
      </w:pPr>
      <w:r>
        <w:rPr>
          <w:rFonts w:hint="eastAsia" w:ascii="仿宋" w:hAnsi="仿宋" w:eastAsia="仿宋"/>
          <w:bCs/>
          <w:color w:val="000000"/>
          <w:sz w:val="28"/>
          <w:szCs w:val="28"/>
        </w:rPr>
        <w:t>一年来，学校建成南药与食品研究院（江门健康产品分中心）等各类技术研发机构、培训中心、实训基地9个；产业学院4个（现代陈皮产业学院、嘉士利食品产业学院、宝娜美容产业学院、爱尔新希望眼科产业学院），其中现代陈皮产业学院成功获省教育厅立项；拥有省级产教融合型企业3个（嘉士利食品有限公司、江门大参林药店有限公司、新会宝娜美容中心）。</w:t>
      </w:r>
    </w:p>
    <w:p>
      <w:pPr>
        <w:pStyle w:val="5"/>
        <w:ind w:left="18" w:hanging="18"/>
        <w:jc w:val="center"/>
        <w:rPr>
          <w:color w:val="000000"/>
          <w:lang w:eastAsia="zh-CN"/>
        </w:rPr>
      </w:pPr>
      <w:r>
        <w:rPr>
          <w:rFonts w:hint="eastAsia"/>
          <w:color w:val="000000"/>
          <w:lang w:eastAsia="zh-CN" w:bidi="ar-SA"/>
        </w:rPr>
        <w:drawing>
          <wp:inline distT="0" distB="0" distL="114300" distR="114300">
            <wp:extent cx="3953510" cy="2603500"/>
            <wp:effectExtent l="0" t="0" r="8890" b="6350"/>
            <wp:docPr id="27" name="图片 27" descr="167964294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679642941488"/>
                    <pic:cNvPicPr>
                      <a:picLocks noChangeAspect="1"/>
                    </pic:cNvPicPr>
                  </pic:nvPicPr>
                  <pic:blipFill>
                    <a:blip r:embed="rId5"/>
                    <a:stretch>
                      <a:fillRect/>
                    </a:stretch>
                  </pic:blipFill>
                  <pic:spPr>
                    <a:xfrm>
                      <a:off x="0" y="0"/>
                      <a:ext cx="3953510" cy="2603500"/>
                    </a:xfrm>
                    <a:prstGeom prst="rect">
                      <a:avLst/>
                    </a:prstGeom>
                  </pic:spPr>
                </pic:pic>
              </a:graphicData>
            </a:graphic>
          </wp:inline>
        </w:drawing>
      </w:r>
    </w:p>
    <w:p>
      <w:pPr>
        <w:pStyle w:val="6"/>
        <w:rPr>
          <w:color w:val="000000"/>
        </w:rPr>
      </w:pPr>
      <w:r>
        <w:rPr>
          <w:rFonts w:hint="eastAsia"/>
          <w:color w:val="000000"/>
        </w:rPr>
        <w:drawing>
          <wp:inline distT="0" distB="0" distL="114300" distR="114300">
            <wp:extent cx="3784600" cy="2682240"/>
            <wp:effectExtent l="0" t="0" r="6350" b="3810"/>
            <wp:docPr id="28" name="图片 28" descr="167964299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679642999996"/>
                    <pic:cNvPicPr>
                      <a:picLocks noChangeAspect="1"/>
                    </pic:cNvPicPr>
                  </pic:nvPicPr>
                  <pic:blipFill>
                    <a:blip r:embed="rId6"/>
                    <a:stretch>
                      <a:fillRect/>
                    </a:stretch>
                  </pic:blipFill>
                  <pic:spPr>
                    <a:xfrm>
                      <a:off x="0" y="0"/>
                      <a:ext cx="3784600" cy="2682240"/>
                    </a:xfrm>
                    <a:prstGeom prst="rect">
                      <a:avLst/>
                    </a:prstGeom>
                  </pic:spPr>
                </pic:pic>
              </a:graphicData>
            </a:graphic>
          </wp:inline>
        </w:drawing>
      </w:r>
    </w:p>
    <w:p>
      <w:pPr>
        <w:pStyle w:val="2"/>
        <w:jc w:val="center"/>
        <w:rPr>
          <w:rFonts w:hAnsi="宋体" w:eastAsia="宋体" w:cs="宋体"/>
          <w:b/>
          <w:bCs/>
          <w:color w:val="000000"/>
        </w:rPr>
      </w:pPr>
      <w:r>
        <w:rPr>
          <w:rFonts w:hint="eastAsia" w:hAnsi="宋体" w:eastAsia="宋体" w:cs="宋体"/>
          <w:b/>
          <w:bCs/>
          <w:color w:val="000000"/>
        </w:rPr>
        <w:t>图2.3-2  省教育厅公布的产教融合企业名单</w:t>
      </w:r>
    </w:p>
    <w:p>
      <w:pPr>
        <w:widowControl/>
        <w:adjustRightInd w:val="0"/>
        <w:snapToGrid w:val="0"/>
        <w:spacing w:line="52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（3）校企共建专科方向</w:t>
      </w:r>
    </w:p>
    <w:p>
      <w:pPr>
        <w:widowControl/>
        <w:adjustRightInd w:val="0"/>
        <w:snapToGrid w:val="0"/>
        <w:spacing w:line="520" w:lineRule="exact"/>
        <w:ind w:firstLine="560" w:firstLineChars="200"/>
        <w:jc w:val="left"/>
        <w:rPr>
          <w:color w:val="000000"/>
          <w:sz w:val="28"/>
          <w:szCs w:val="28"/>
        </w:rPr>
      </w:pPr>
      <w:r>
        <w:rPr>
          <w:rFonts w:hint="eastAsia" w:ascii="仿宋" w:hAnsi="仿宋" w:eastAsia="仿宋" w:cs="仿宋"/>
          <w:color w:val="000000"/>
          <w:kern w:val="0"/>
          <w:sz w:val="28"/>
          <w:szCs w:val="28"/>
        </w:rPr>
        <w:t>为满足健康产业发展的专业化、精准化需求，我校与卫生健康行业、医疗单位共建设医护类专业小专科方向班，与医院专业共建医护小专科定向班，2022年与江门市中心医院共同培养麻醉护理方向50名学生，心血管方向30名学生；与新会护理学会共同培养老年护理方向30名学生。与五邑中医院合办中医学肛肠专科方向班30名等。这些方向班的课程设置及教学方案由学校与合办单位共同制定，临床专家全程参与教学，紧跟专业领域前沿发展传授知识技能，增加真实岗位教学环节，实现专业方向与岗位需求精准对接。</w:t>
      </w:r>
    </w:p>
    <w:p>
      <w:pPr>
        <w:widowControl/>
        <w:adjustRightInd w:val="0"/>
        <w:snapToGrid w:val="0"/>
        <w:spacing w:line="52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（4）</w:t>
      </w:r>
      <w:r>
        <w:rPr>
          <w:rFonts w:hint="eastAsia" w:ascii="仿宋" w:hAnsi="仿宋" w:eastAsia="仿宋"/>
          <w:b/>
          <w:bCs/>
          <w:color w:val="000000"/>
          <w:sz w:val="28"/>
          <w:szCs w:val="28"/>
        </w:rPr>
        <w:t>联合开发校企双元教材</w:t>
      </w:r>
    </w:p>
    <w:p>
      <w:pPr>
        <w:adjustRightInd w:val="0"/>
        <w:snapToGrid w:val="0"/>
        <w:spacing w:line="520" w:lineRule="exact"/>
        <w:ind w:firstLine="560" w:firstLineChars="200"/>
        <w:jc w:val="left"/>
        <w:rPr>
          <w:rFonts w:ascii="仿宋" w:hAnsi="仿宋" w:eastAsia="仿宋"/>
          <w:bCs/>
          <w:color w:val="000000"/>
          <w:sz w:val="28"/>
          <w:szCs w:val="28"/>
        </w:rPr>
      </w:pPr>
      <w:r>
        <w:rPr>
          <w:rFonts w:hint="eastAsia" w:ascii="仿宋" w:hAnsi="仿宋" w:eastAsia="仿宋"/>
          <w:bCs/>
          <w:color w:val="000000"/>
          <w:sz w:val="28"/>
          <w:szCs w:val="28"/>
        </w:rPr>
        <w:t>为进一步深化产教融合、校企合作，提升人才培养的适应性，我校</w:t>
      </w:r>
      <w:r>
        <w:rPr>
          <w:rFonts w:hint="eastAsia" w:ascii="仿宋" w:hAnsi="仿宋" w:eastAsia="仿宋" w:cs="仿宋"/>
          <w:color w:val="000000"/>
          <w:kern w:val="0"/>
          <w:sz w:val="28"/>
          <w:szCs w:val="28"/>
        </w:rPr>
        <w:t>与市中心医院开发的《麻醉护理学基础》教材由人民卫生出版社公开出版，在线精品课程已上线，该教材的出版将填补我国此方向无教材和教学标准的空白。编著《婴幼儿卫生与保健》教材，面向全国婴幼儿托育服务与管理专业使用。目前我校教师与江门市中心医院正在合作编写教材《心血管疾病护理》，以便心血管护理方向班教学使用。</w:t>
      </w:r>
      <w:r>
        <w:rPr>
          <w:rFonts w:hint="eastAsia" w:ascii="仿宋" w:hAnsi="仿宋" w:eastAsia="仿宋"/>
          <w:bCs/>
          <w:color w:val="000000"/>
          <w:sz w:val="28"/>
          <w:szCs w:val="28"/>
        </w:rPr>
        <w:t>与五邑爱尔新希望眼科医院等企业专家共同编著《视器解剖与生理》，与爱尔新希望医院等企业专家共同编著《眼科疾病》，我校与国内著名眼镜材料企业豪雅（上海）光学有限公司、广州苏明达光学有限公、厦门雅瑞光学有限公司（暴龙眼镜）等企业专家共同编著《眼镜材料与工艺》，此教材填补了高职眼视光国标规定专业核心科目近十余年无教材更新的局面。</w:t>
      </w:r>
    </w:p>
    <w:p>
      <w:pPr>
        <w:widowControl/>
        <w:adjustRightInd w:val="0"/>
        <w:snapToGrid w:val="0"/>
        <w:spacing w:line="52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（5）加强退役军人现代学徒制人才培养</w:t>
      </w:r>
    </w:p>
    <w:p>
      <w:pPr>
        <w:widowControl/>
        <w:adjustRightInd w:val="0"/>
        <w:snapToGrid w:val="0"/>
        <w:spacing w:line="520" w:lineRule="exact"/>
        <w:ind w:firstLine="560" w:firstLineChars="200"/>
        <w:jc w:val="left"/>
        <w:rPr>
          <w:color w:val="000000"/>
          <w:sz w:val="28"/>
          <w:szCs w:val="28"/>
          <w:highlight w:val="yellow"/>
        </w:rPr>
      </w:pPr>
      <w:r>
        <w:rPr>
          <w:rFonts w:hint="eastAsia" w:ascii="仿宋" w:hAnsi="仿宋" w:eastAsia="仿宋" w:cs="仿宋"/>
          <w:color w:val="000000"/>
          <w:kern w:val="0"/>
          <w:sz w:val="28"/>
          <w:szCs w:val="28"/>
        </w:rPr>
        <w:t>学校</w:t>
      </w:r>
      <w:r>
        <w:rPr>
          <w:rFonts w:hint="eastAsia" w:ascii="仿宋" w:hAnsi="仿宋" w:eastAsia="仿宋"/>
          <w:bCs/>
          <w:color w:val="000000"/>
          <w:sz w:val="28"/>
          <w:szCs w:val="28"/>
        </w:rPr>
        <w:t>成功申办退役军人现代学徒制试点班</w:t>
      </w:r>
      <w:r>
        <w:rPr>
          <w:rFonts w:hint="eastAsia" w:ascii="仿宋" w:hAnsi="仿宋" w:eastAsia="仿宋" w:cs="仿宋"/>
          <w:color w:val="000000"/>
          <w:kern w:val="0"/>
          <w:sz w:val="28"/>
          <w:szCs w:val="28"/>
        </w:rPr>
        <w:t>，并</w:t>
      </w:r>
      <w:r>
        <w:rPr>
          <w:rFonts w:hint="eastAsia" w:ascii="仿宋" w:hAnsi="仿宋" w:eastAsia="仿宋"/>
          <w:bCs/>
          <w:color w:val="000000"/>
          <w:sz w:val="28"/>
          <w:szCs w:val="28"/>
        </w:rPr>
        <w:t>采取送教上门方式针对药学</w:t>
      </w:r>
      <w:r>
        <w:rPr>
          <w:rFonts w:hint="eastAsia" w:ascii="仿宋" w:hAnsi="仿宋" w:eastAsia="仿宋" w:cs="仿宋"/>
          <w:color w:val="000000"/>
          <w:kern w:val="0"/>
          <w:sz w:val="28"/>
          <w:szCs w:val="28"/>
        </w:rPr>
        <w:t>、中药学、中医康复技术、康复治疗技术、</w:t>
      </w:r>
      <w:r>
        <w:rPr>
          <w:rFonts w:hint="eastAsia" w:ascii="仿宋" w:hAnsi="仿宋" w:eastAsia="仿宋"/>
          <w:bCs/>
          <w:color w:val="000000"/>
          <w:sz w:val="28"/>
          <w:szCs w:val="28"/>
        </w:rPr>
        <w:t>智能医疗装备技术等5个专业共22名退役军人开展现代学徒制工作双元育人。</w:t>
      </w:r>
    </w:p>
    <w:p>
      <w:pPr>
        <w:pStyle w:val="2"/>
        <w:keepNext w:val="0"/>
        <w:keepLines w:val="0"/>
        <w:pageBreakBefore w:val="0"/>
        <w:widowControl/>
        <w:kinsoku/>
        <w:wordWrap/>
        <w:overflowPunct/>
        <w:topLinePunct w:val="0"/>
        <w:autoSpaceDE/>
        <w:autoSpaceDN/>
        <w:bidi w:val="0"/>
        <w:adjustRightInd/>
        <w:snapToGrid/>
        <w:ind w:firstLine="560" w:firstLineChars="200"/>
        <w:textAlignment w:val="auto"/>
        <w:rPr>
          <w:rFonts w:ascii="仿宋" w:hAnsi="仿宋" w:eastAsia="仿宋"/>
          <w:sz w:val="28"/>
          <w:szCs w:val="28"/>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to Sans Mono CJK JP Regular">
    <w:altName w:val="Segoe Print"/>
    <w:panose1 w:val="000000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2000000000000000000"/>
    <w:charset w:val="86"/>
    <w:family w:val="auto"/>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kzYzM2NWYzMmJhZWEyZTlmYzMyMzkyMTZiMTQ4NDYifQ=="/>
  </w:docVars>
  <w:rsids>
    <w:rsidRoot w:val="006936EF"/>
    <w:rsid w:val="00123BDE"/>
    <w:rsid w:val="001624E0"/>
    <w:rsid w:val="001F0487"/>
    <w:rsid w:val="00255A7C"/>
    <w:rsid w:val="002C6837"/>
    <w:rsid w:val="003618A4"/>
    <w:rsid w:val="00372AC3"/>
    <w:rsid w:val="00374461"/>
    <w:rsid w:val="004102A8"/>
    <w:rsid w:val="004441F3"/>
    <w:rsid w:val="004C121D"/>
    <w:rsid w:val="006936EF"/>
    <w:rsid w:val="006F480D"/>
    <w:rsid w:val="007B22A5"/>
    <w:rsid w:val="0083071D"/>
    <w:rsid w:val="008F4CD9"/>
    <w:rsid w:val="00914102"/>
    <w:rsid w:val="00A97539"/>
    <w:rsid w:val="00AB28BC"/>
    <w:rsid w:val="00AF74F5"/>
    <w:rsid w:val="00BF3788"/>
    <w:rsid w:val="00C90A34"/>
    <w:rsid w:val="00CD31BB"/>
    <w:rsid w:val="00D16F90"/>
    <w:rsid w:val="00D762B1"/>
    <w:rsid w:val="00D935C3"/>
    <w:rsid w:val="00DF631F"/>
    <w:rsid w:val="01F5073A"/>
    <w:rsid w:val="02316BD3"/>
    <w:rsid w:val="04E51B4F"/>
    <w:rsid w:val="05426435"/>
    <w:rsid w:val="0A467299"/>
    <w:rsid w:val="0D724C64"/>
    <w:rsid w:val="0F4B5F59"/>
    <w:rsid w:val="12790F10"/>
    <w:rsid w:val="186128C3"/>
    <w:rsid w:val="1B4A4370"/>
    <w:rsid w:val="1FE9639D"/>
    <w:rsid w:val="237E6784"/>
    <w:rsid w:val="32CA049E"/>
    <w:rsid w:val="34AC732B"/>
    <w:rsid w:val="369242F2"/>
    <w:rsid w:val="37D52066"/>
    <w:rsid w:val="3C3A16CB"/>
    <w:rsid w:val="3F356C42"/>
    <w:rsid w:val="44146AA0"/>
    <w:rsid w:val="482E20D9"/>
    <w:rsid w:val="4B5B1C8E"/>
    <w:rsid w:val="518907C0"/>
    <w:rsid w:val="51DB195B"/>
    <w:rsid w:val="53D72388"/>
    <w:rsid w:val="5574613B"/>
    <w:rsid w:val="59A57CA8"/>
    <w:rsid w:val="61A00DCC"/>
    <w:rsid w:val="6BEC2ABF"/>
    <w:rsid w:val="74A37A21"/>
    <w:rsid w:val="76625A7E"/>
    <w:rsid w:val="78CD2CE4"/>
    <w:rsid w:val="797044B6"/>
    <w:rsid w:val="7B29739D"/>
    <w:rsid w:val="7B9E0100"/>
    <w:rsid w:val="7E7A183C"/>
    <w:rsid w:val="7F2DC3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20" w:line="360" w:lineRule="auto"/>
      <w:ind w:firstLine="600" w:firstLineChars="200"/>
      <w:outlineLvl w:val="0"/>
    </w:pPr>
    <w:rPr>
      <w:b/>
      <w:bCs/>
      <w:kern w:val="44"/>
      <w:sz w:val="24"/>
      <w:szCs w:val="44"/>
    </w:rPr>
  </w:style>
  <w:style w:type="paragraph" w:styleId="4">
    <w:name w:val="heading 2"/>
    <w:basedOn w:val="1"/>
    <w:next w:val="1"/>
    <w:unhideWhenUsed/>
    <w:qFormat/>
    <w:uiPriority w:val="0"/>
    <w:pPr>
      <w:keepNext/>
      <w:keepLines/>
      <w:spacing w:line="360" w:lineRule="auto"/>
      <w:ind w:firstLine="600" w:firstLineChars="200"/>
      <w:outlineLvl w:val="1"/>
    </w:pPr>
    <w:rPr>
      <w:rFonts w:ascii="Calibri Light" w:hAnsi="Calibri Light"/>
      <w:b/>
      <w:bCs/>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pPr>
      <w:widowControl/>
      <w:jc w:val="left"/>
    </w:pPr>
    <w:rPr>
      <w:rFonts w:ascii="宋体" w:hAnsi="Courier New" w:cs="Courier New"/>
      <w:kern w:val="0"/>
      <w:szCs w:val="21"/>
    </w:rPr>
  </w:style>
  <w:style w:type="paragraph" w:styleId="5">
    <w:name w:val="Body Text"/>
    <w:basedOn w:val="1"/>
    <w:next w:val="6"/>
    <w:link w:val="16"/>
    <w:qFormat/>
    <w:uiPriority w:val="1"/>
    <w:pPr>
      <w:autoSpaceDE w:val="0"/>
      <w:autoSpaceDN w:val="0"/>
      <w:jc w:val="left"/>
    </w:pPr>
    <w:rPr>
      <w:rFonts w:ascii="Noto Sans Mono CJK JP Regular" w:hAnsi="Noto Sans Mono CJK JP Regular" w:eastAsia="Noto Sans Mono CJK JP Regular" w:cs="Noto Sans Mono CJK JP Regular"/>
      <w:kern w:val="0"/>
      <w:sz w:val="24"/>
      <w:lang w:val="zh-CN" w:bidi="zh-CN"/>
    </w:rPr>
  </w:style>
  <w:style w:type="paragraph" w:styleId="6">
    <w:name w:val="Title"/>
    <w:basedOn w:val="1"/>
    <w:next w:val="1"/>
    <w:qFormat/>
    <w:uiPriority w:val="0"/>
    <w:pPr>
      <w:spacing w:before="240" w:after="60" w:line="240" w:lineRule="auto"/>
      <w:ind w:firstLineChars="0"/>
      <w:jc w:val="center"/>
      <w:textAlignment w:val="baseline"/>
    </w:pPr>
    <w:rPr>
      <w:rFonts w:ascii="Cambria" w:hAnsi="Cambria" w:eastAsia="宋体" w:cs="Times New Roman"/>
      <w:b/>
      <w:bCs/>
      <w:kern w:val="2"/>
      <w:sz w:val="32"/>
      <w:szCs w:val="32"/>
      <w:lang w:val="en-US" w:eastAsia="zh-CN" w:bidi="ar-SA"/>
    </w:rPr>
  </w:style>
  <w:style w:type="paragraph" w:styleId="7">
    <w:name w:val="Balloon Text"/>
    <w:basedOn w:val="1"/>
    <w:link w:val="17"/>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正文文本 Char"/>
    <w:basedOn w:val="13"/>
    <w:link w:val="5"/>
    <w:qFormat/>
    <w:uiPriority w:val="1"/>
    <w:rPr>
      <w:rFonts w:ascii="Noto Sans Mono CJK JP Regular" w:hAnsi="Noto Sans Mono CJK JP Regular" w:eastAsia="Noto Sans Mono CJK JP Regular" w:cs="Noto Sans Mono CJK JP Regular"/>
      <w:kern w:val="0"/>
      <w:sz w:val="24"/>
      <w:szCs w:val="24"/>
      <w:lang w:val="zh-CN" w:bidi="zh-CN"/>
    </w:rPr>
  </w:style>
  <w:style w:type="character" w:customStyle="1" w:styleId="17">
    <w:name w:val="批注框文本 Char"/>
    <w:basedOn w:val="13"/>
    <w:link w:val="7"/>
    <w:semiHidden/>
    <w:qFormat/>
    <w:uiPriority w:val="99"/>
    <w:rPr>
      <w:rFonts w:ascii="Times New Roman" w:hAnsi="Times New Roman" w:eastAsia="宋体" w:cs="Times New Roman"/>
      <w:sz w:val="18"/>
      <w:szCs w:val="18"/>
    </w:rPr>
  </w:style>
  <w:style w:type="paragraph" w:customStyle="1" w:styleId="18">
    <w:name w:val="List Paragraph"/>
    <w:basedOn w:val="1"/>
    <w:qFormat/>
    <w:uiPriority w:val="34"/>
    <w:pPr>
      <w:ind w:firstLine="420" w:firstLineChars="200"/>
    </w:pPr>
  </w:style>
  <w:style w:type="character" w:customStyle="1" w:styleId="19">
    <w:name w:val="bjh-p"/>
    <w:basedOn w:val="13"/>
    <w:qFormat/>
    <w:uiPriority w:val="0"/>
  </w:style>
  <w:style w:type="paragraph" w:customStyle="1" w:styleId="20">
    <w:name w:val="二级标题"/>
    <w:basedOn w:val="1"/>
    <w:qFormat/>
    <w:uiPriority w:val="0"/>
    <w:pPr>
      <w:adjustRightInd w:val="0"/>
      <w:snapToGrid w:val="0"/>
      <w:spacing w:line="360" w:lineRule="auto"/>
      <w:ind w:firstLine="200" w:firstLineChars="200"/>
      <w:outlineLvl w:val="1"/>
    </w:pPr>
    <w:rPr>
      <w:rFonts w:ascii="仿宋" w:hAnsi="仿宋" w:eastAsia="仿宋" w:cs="仿宋"/>
      <w:b/>
      <w:sz w:val="28"/>
      <w:szCs w:val="28"/>
    </w:rPr>
  </w:style>
  <w:style w:type="paragraph" w:customStyle="1" w:styleId="21">
    <w:name w:val="二标题2"/>
    <w:basedOn w:val="22"/>
    <w:qFormat/>
    <w:uiPriority w:val="0"/>
  </w:style>
  <w:style w:type="paragraph" w:customStyle="1" w:styleId="22">
    <w:name w:val="三标题"/>
    <w:basedOn w:val="23"/>
    <w:qFormat/>
    <w:uiPriority w:val="0"/>
    <w:pPr>
      <w:ind w:firstLine="640"/>
    </w:pPr>
    <w:rPr>
      <w:sz w:val="32"/>
      <w:szCs w:val="32"/>
    </w:rPr>
  </w:style>
  <w:style w:type="paragraph" w:customStyle="1" w:styleId="23">
    <w:name w:val="二标题"/>
    <w:basedOn w:val="20"/>
    <w:qFormat/>
    <w:uiPriority w:val="0"/>
    <w:pPr>
      <w:spacing w:line="576" w:lineRule="exact"/>
      <w:ind w:firstLine="560"/>
    </w:pPr>
    <w:rPr>
      <w:rFonts w:ascii="方正楷体简体" w:hAnsi="方正楷体简体" w:eastAsia="方正楷体简体"/>
      <w:b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8</Pages>
  <Words>3944</Words>
  <Characters>4060</Characters>
  <Lines>30</Lines>
  <Paragraphs>8</Paragraphs>
  <TotalTime>0</TotalTime>
  <ScaleCrop>false</ScaleCrop>
  <LinksUpToDate>false</LinksUpToDate>
  <CharactersWithSpaces>4060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2020-04-30T08:26:00Z</dcterms:created>
  <dc:creator>黄燕秋</dc:creator>
  <cp:lastModifiedBy>江门中医药教务部冉超</cp:lastModifiedBy>
  <cp:lastPrinted>2021-03-17T21:35:00Z</cp:lastPrinted>
  <dcterms:modified xsi:type="dcterms:W3CDTF">2023-03-29T02:55:43Z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DC07F8FC13F947B5BD6CA09922349056</vt:lpwstr>
  </property>
</Properties>
</file>